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9017B5" w:rsidRPr="00E8761E" w:rsidRDefault="009017B5" w:rsidP="00E8761E">
      <w:pPr>
        <w:spacing w:after="0" w:line="480" w:lineRule="auto"/>
        <w:jc w:val="both"/>
        <w:rPr>
          <w:rFonts w:ascii="Times New Roman" w:hAnsi="Times New Roman" w:cs="Times New Roman"/>
          <w:sz w:val="24"/>
          <w:szCs w:val="24"/>
          <w:shd w:val="clear" w:color="auto" w:fill="FFFFFF"/>
        </w:rPr>
      </w:pPr>
    </w:p>
    <w:p w:rsidR="00AD23CD" w:rsidRPr="00E8761E" w:rsidRDefault="00AD23CD" w:rsidP="00E8761E">
      <w:pPr>
        <w:tabs>
          <w:tab w:val="left" w:pos="7650"/>
        </w:tabs>
        <w:spacing w:after="0" w:line="480" w:lineRule="auto"/>
        <w:jc w:val="center"/>
        <w:rPr>
          <w:rFonts w:ascii="Times New Roman" w:hAnsi="Times New Roman" w:cs="Times New Roman"/>
          <w:sz w:val="24"/>
          <w:szCs w:val="24"/>
        </w:rPr>
      </w:pPr>
      <w:r w:rsidRPr="00E8761E">
        <w:rPr>
          <w:rFonts w:ascii="Times New Roman" w:hAnsi="Times New Roman" w:cs="Times New Roman"/>
          <w:sz w:val="24"/>
          <w:szCs w:val="24"/>
        </w:rPr>
        <w:t>Workplace Diversity</w:t>
      </w:r>
    </w:p>
    <w:p w:rsidR="0097726B" w:rsidRPr="00E8761E" w:rsidRDefault="0097726B" w:rsidP="00E8761E">
      <w:pPr>
        <w:spacing w:after="0" w:line="480" w:lineRule="auto"/>
        <w:jc w:val="center"/>
        <w:rPr>
          <w:rFonts w:ascii="Times New Roman" w:hAnsi="Times New Roman" w:cs="Times New Roman"/>
          <w:sz w:val="24"/>
          <w:szCs w:val="24"/>
          <w:shd w:val="clear" w:color="auto" w:fill="FFFFFF"/>
        </w:rPr>
      </w:pPr>
      <w:r w:rsidRPr="00E8761E">
        <w:rPr>
          <w:rFonts w:ascii="Times New Roman" w:hAnsi="Times New Roman" w:cs="Times New Roman"/>
          <w:sz w:val="24"/>
          <w:szCs w:val="24"/>
          <w:lang w:val="en-GB"/>
        </w:rPr>
        <w:t>Name</w:t>
      </w:r>
    </w:p>
    <w:p w:rsidR="0097726B" w:rsidRPr="00E8761E" w:rsidRDefault="005135C6" w:rsidP="00E8761E">
      <w:pPr>
        <w:spacing w:after="0" w:line="480" w:lineRule="auto"/>
        <w:jc w:val="center"/>
        <w:rPr>
          <w:rFonts w:ascii="Times New Roman" w:hAnsi="Times New Roman" w:cs="Times New Roman"/>
          <w:sz w:val="24"/>
          <w:szCs w:val="24"/>
          <w:shd w:val="clear" w:color="auto" w:fill="FFFFFF"/>
        </w:rPr>
      </w:pPr>
      <w:r w:rsidRPr="00E8761E">
        <w:rPr>
          <w:rFonts w:ascii="Times New Roman" w:hAnsi="Times New Roman" w:cs="Times New Roman"/>
          <w:sz w:val="24"/>
          <w:szCs w:val="24"/>
          <w:lang w:val="en-GB"/>
        </w:rPr>
        <w:t>Institutional Affiliation</w:t>
      </w:r>
    </w:p>
    <w:p w:rsidR="009017B5" w:rsidRPr="00E8761E" w:rsidRDefault="005135C6" w:rsidP="00E8761E">
      <w:pPr>
        <w:spacing w:after="0" w:line="480" w:lineRule="auto"/>
        <w:jc w:val="center"/>
        <w:rPr>
          <w:rFonts w:ascii="Times New Roman" w:hAnsi="Times New Roman" w:cs="Times New Roman"/>
          <w:sz w:val="24"/>
          <w:szCs w:val="24"/>
          <w:shd w:val="clear" w:color="auto" w:fill="FFFFFF"/>
        </w:rPr>
      </w:pPr>
      <w:r w:rsidRPr="00E8761E">
        <w:rPr>
          <w:rFonts w:ascii="Times New Roman" w:hAnsi="Times New Roman" w:cs="Times New Roman"/>
          <w:sz w:val="24"/>
          <w:szCs w:val="24"/>
          <w:lang w:val="en-GB"/>
        </w:rPr>
        <w:t>Date</w:t>
      </w:r>
      <w:r w:rsidR="0097726B" w:rsidRPr="00E8761E">
        <w:rPr>
          <w:rFonts w:ascii="Times New Roman" w:hAnsi="Times New Roman" w:cs="Times New Roman"/>
          <w:sz w:val="24"/>
          <w:szCs w:val="24"/>
          <w:lang w:val="en-GB"/>
        </w:rPr>
        <w:t xml:space="preserve"> </w:t>
      </w:r>
      <w:r w:rsidR="00490E9D" w:rsidRPr="00E8761E">
        <w:rPr>
          <w:rFonts w:ascii="Times New Roman" w:hAnsi="Times New Roman" w:cs="Times New Roman"/>
          <w:sz w:val="24"/>
          <w:szCs w:val="24"/>
          <w:shd w:val="clear" w:color="auto" w:fill="FFFFFF"/>
        </w:rPr>
        <w:br w:type="page"/>
      </w:r>
    </w:p>
    <w:p w:rsidR="00AD23CD" w:rsidRPr="00E8761E" w:rsidRDefault="00AD23CD" w:rsidP="00E8761E">
      <w:pPr>
        <w:tabs>
          <w:tab w:val="left" w:pos="7650"/>
        </w:tabs>
        <w:spacing w:after="0" w:line="480" w:lineRule="auto"/>
        <w:jc w:val="center"/>
        <w:rPr>
          <w:rFonts w:ascii="Times New Roman" w:hAnsi="Times New Roman" w:cs="Times New Roman"/>
          <w:sz w:val="24"/>
          <w:szCs w:val="24"/>
        </w:rPr>
      </w:pPr>
      <w:r w:rsidRPr="00E8761E">
        <w:rPr>
          <w:rFonts w:ascii="Times New Roman" w:hAnsi="Times New Roman" w:cs="Times New Roman"/>
          <w:sz w:val="24"/>
          <w:szCs w:val="24"/>
        </w:rPr>
        <w:lastRenderedPageBreak/>
        <w:t>Workplace Diversity</w:t>
      </w:r>
    </w:p>
    <w:p w:rsidR="00AD23CD" w:rsidRPr="00E8761E" w:rsidRDefault="00AD23CD" w:rsidP="00E8761E">
      <w:pPr>
        <w:tabs>
          <w:tab w:val="left" w:pos="7650"/>
        </w:tabs>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Introduction /Abstract:</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Several events currently influence healthcare human resource management, of importance; however is the diversity of workplace. There is an increased diversity amongst workforces and patients. The changing demographics can also be associated with the increased health care globalization. There is an increased level of patient circulation in the United States globally because of increased costs in healthcare, which further leads to patients seeking treatments outside the states. Moreover, because of the lack of primary nurses and physicians nationally, international employees are increasingly hired. The application of technological inventions in health care continues to rise</w:t>
      </w:r>
      <w:r w:rsidR="00E8761E" w:rsidRPr="00E8761E">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198086105"/>
          <w:citation/>
        </w:sdtPr>
        <w:sdtEndPr/>
        <w:sdtContent>
          <w:r w:rsidR="00E8761E" w:rsidRPr="00E8761E">
            <w:rPr>
              <w:rFonts w:ascii="Times New Roman" w:hAnsi="Times New Roman" w:cs="Times New Roman"/>
              <w:sz w:val="24"/>
              <w:szCs w:val="24"/>
              <w:shd w:val="clear" w:color="auto" w:fill="FFFFFF"/>
            </w:rPr>
            <w:fldChar w:fldCharType="begin"/>
          </w:r>
          <w:r w:rsidR="00E8761E" w:rsidRPr="00E8761E">
            <w:rPr>
              <w:rFonts w:ascii="Times New Roman" w:hAnsi="Times New Roman" w:cs="Times New Roman"/>
              <w:sz w:val="24"/>
              <w:szCs w:val="24"/>
              <w:shd w:val="clear" w:color="auto" w:fill="FFFFFF"/>
            </w:rPr>
            <w:instrText xml:space="preserve"> CITATION Jos18 \l 1033 </w:instrText>
          </w:r>
          <w:r w:rsidR="00E8761E" w:rsidRPr="00E8761E">
            <w:rPr>
              <w:rFonts w:ascii="Times New Roman" w:hAnsi="Times New Roman" w:cs="Times New Roman"/>
              <w:sz w:val="24"/>
              <w:szCs w:val="24"/>
              <w:shd w:val="clear" w:color="auto" w:fill="FFFFFF"/>
            </w:rPr>
            <w:fldChar w:fldCharType="separate"/>
          </w:r>
          <w:r w:rsidR="00E8761E" w:rsidRPr="00E8761E">
            <w:rPr>
              <w:rFonts w:ascii="Times New Roman" w:hAnsi="Times New Roman" w:cs="Times New Roman"/>
              <w:noProof/>
              <w:sz w:val="24"/>
              <w:szCs w:val="24"/>
              <w:shd w:val="clear" w:color="auto" w:fill="FFFFFF"/>
            </w:rPr>
            <w:t xml:space="preserve"> (Cabral, 2018)</w:t>
          </w:r>
          <w:r w:rsidR="00E8761E" w:rsidRPr="00E8761E">
            <w:rPr>
              <w:rFonts w:ascii="Times New Roman" w:hAnsi="Times New Roman" w:cs="Times New Roman"/>
              <w:sz w:val="24"/>
              <w:szCs w:val="24"/>
              <w:shd w:val="clear" w:color="auto" w:fill="FFFFFF"/>
            </w:rPr>
            <w:fldChar w:fldCharType="end"/>
          </w:r>
        </w:sdtContent>
      </w:sdt>
      <w:r w:rsidRPr="00E8761E">
        <w:rPr>
          <w:rFonts w:ascii="Times New Roman" w:hAnsi="Times New Roman" w:cs="Times New Roman"/>
          <w:sz w:val="24"/>
          <w:szCs w:val="24"/>
        </w:rPr>
        <w:t>. The emphasis on the implementation of electronic records for patient information demands additional training for employees. This paper focuses on workplace place diversity and how it affects the healthcare environment, and it also provides recommendations to healthcare organizations in developing training programs for workers in ensuring they are at ease with the changing environment.</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Possible Solution</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Workplace diversity is increasingly becoming an essential topic in most organizations and especially in healthcare within the United States and abroad. An important starting point for a solution is to take into proper consideration of this phenomenon by establishing the meaning of the word diversity and then examining the increase of such diversity in healthcare</w:t>
      </w:r>
      <w:r w:rsidRPr="00E8761E">
        <w:rPr>
          <w:rFonts w:ascii="Times New Roman" w:hAnsi="Times New Roman" w:cs="Times New Roman"/>
          <w:sz w:val="24"/>
          <w:szCs w:val="24"/>
          <w:shd w:val="clear" w:color="auto" w:fill="FFFFFF"/>
        </w:rPr>
        <w:t xml:space="preserve"> (Gomez-Mejia et al., 2007)</w:t>
      </w:r>
      <w:r w:rsidRPr="00E8761E">
        <w:rPr>
          <w:rFonts w:ascii="Times New Roman" w:hAnsi="Times New Roman" w:cs="Times New Roman"/>
          <w:sz w:val="24"/>
          <w:szCs w:val="24"/>
        </w:rPr>
        <w:t xml:space="preserve">. Diversity is present within a specific group when the members of that group have different opinions from one another along one or more significant dimensions. Initially, men have often been dominants of superior positions. Most minorities and women, on the other hand, have been underrepresented in important management sections in healthcare. As a result, the most important solution is to focus on establishing </w:t>
      </w:r>
      <w:r w:rsidRPr="00E8761E">
        <w:rPr>
          <w:rFonts w:ascii="Times New Roman" w:hAnsi="Times New Roman" w:cs="Times New Roman"/>
          <w:sz w:val="24"/>
          <w:szCs w:val="24"/>
        </w:rPr>
        <w:lastRenderedPageBreak/>
        <w:t>policies focusing mainly on the promotion of a qualified, diverse workforce. This implementation can be conducted in association with the HR department.</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Benefits/ Advantages of Solution</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 xml:space="preserve">The benefit of such a solution is that it promotes equality in the workplace, which includes the formation of an environment that has high employee self-esteem, establishing a good status and the ability to employ top talent. The other benefit is that the efficiency of employees is measured based on the influences they make, which will increase their motivation to make responsible decisions in contributing positively to the organization. However, in case discrimination and diversity exists among the employees especially when choosing who deserves promotions, employees can feel discriminated against and could be discouraged and demotivated.  </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Challenges/disadvantages of solution</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The challenge of implementing such policies is that it can increase work-family encounter. Work-family encounters involve a role engagement which workers experience when the stresses, such as time, emotion, and cognitive of their work role affect the demands of their family role and vice versa. Work-family conflict, which results from implementing policies that enhance promotions within an organization, can have negative consequences and increase employee anxiety, illness-related absenteeism, and the desire to turn over</w:t>
      </w:r>
      <w:r w:rsidRPr="00E8761E">
        <w:rPr>
          <w:rFonts w:ascii="Times New Roman" w:hAnsi="Times New Roman" w:cs="Times New Roman"/>
          <w:sz w:val="24"/>
          <w:szCs w:val="24"/>
          <w:shd w:val="clear" w:color="auto" w:fill="FFFFFF"/>
        </w:rPr>
        <w:t xml:space="preserve"> (Greene &amp; Kirton, 2015)</w:t>
      </w:r>
      <w:r w:rsidRPr="00E8761E">
        <w:rPr>
          <w:rFonts w:ascii="Times New Roman" w:hAnsi="Times New Roman" w:cs="Times New Roman"/>
          <w:sz w:val="24"/>
          <w:szCs w:val="24"/>
        </w:rPr>
        <w:t>. Often, women in higher ranks are usually influenced by work-family engagement compared to men.</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Conclusion/recommendation</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Meaning for Healthcare Delivery System</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 xml:space="preserve">Since the healthcare workforce grows in terms of diversity, which includes international recruitment of healthcare workers, as well and the increased expansion in the U.S population, the need for improved diversity and cross-cultural training is important. The benefits of such initiatives for the healthcare organization are wide-ranging. Increasing </w:t>
      </w:r>
      <w:r w:rsidRPr="00E8761E">
        <w:rPr>
          <w:rFonts w:ascii="Times New Roman" w:hAnsi="Times New Roman" w:cs="Times New Roman"/>
          <w:sz w:val="24"/>
          <w:szCs w:val="24"/>
        </w:rPr>
        <w:lastRenderedPageBreak/>
        <w:t>diverse workforce in healthcare workforce may increase trust in the healthcare delivery system. Particularly, racial and ethnic minority patients may develop increased distrust in the healthcare system and institutions, which are managed by predominantly white health professionals, as a result of discrimination and segregation. In this case, a diverse employee workforce can lead to an increase in minority population trust, and in turn, their propensity to use services at those institutions.</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Meaning for Healthcare organization/facility</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In the healthcare organization, the issue of diversity is associated with the less clinical process of care as well as individual patient outcomes, including successful attainment of the core functions of public health. The core functions characterize the public health facility: development of policy, assurance, and assessment</w:t>
      </w:r>
      <w:r w:rsidRPr="00E8761E">
        <w:rPr>
          <w:rFonts w:ascii="Times New Roman" w:hAnsi="Times New Roman" w:cs="Times New Roman"/>
          <w:sz w:val="24"/>
          <w:szCs w:val="24"/>
          <w:shd w:val="clear" w:color="auto" w:fill="FFFFFF"/>
        </w:rPr>
        <w:t>(Crouse, Doyle &amp; Young, 2011)</w:t>
      </w:r>
      <w:r w:rsidRPr="00E8761E">
        <w:rPr>
          <w:rFonts w:ascii="Times New Roman" w:hAnsi="Times New Roman" w:cs="Times New Roman"/>
          <w:sz w:val="24"/>
          <w:szCs w:val="24"/>
        </w:rPr>
        <w:t>. A diverse public health workforce accompanied by public health environment focusing on advancing diversity plays a part in the performance of various functions. However, diversity also affects the ability of professional healthcare providers to communicate effectively with their patients in bringing to the healthcare enterprise insight and knowledge of important healthcare qualities.</w:t>
      </w:r>
    </w:p>
    <w:p w:rsidR="00AD23CD" w:rsidRPr="00E8761E" w:rsidRDefault="00AD23CD" w:rsidP="00E8761E">
      <w:pPr>
        <w:spacing w:after="0" w:line="480" w:lineRule="auto"/>
        <w:jc w:val="center"/>
        <w:rPr>
          <w:rFonts w:ascii="Times New Roman" w:hAnsi="Times New Roman" w:cs="Times New Roman"/>
          <w:b/>
          <w:sz w:val="24"/>
          <w:szCs w:val="24"/>
        </w:rPr>
      </w:pPr>
      <w:r w:rsidRPr="00E8761E">
        <w:rPr>
          <w:rFonts w:ascii="Times New Roman" w:hAnsi="Times New Roman" w:cs="Times New Roman"/>
          <w:b/>
          <w:sz w:val="24"/>
          <w:szCs w:val="24"/>
        </w:rPr>
        <w:t>Meaning for you as a Health Administrator</w:t>
      </w:r>
    </w:p>
    <w:p w:rsidR="00AD23CD" w:rsidRPr="00E8761E" w:rsidRDefault="00AD23CD" w:rsidP="00E8761E">
      <w:pPr>
        <w:spacing w:after="0" w:line="480" w:lineRule="auto"/>
        <w:ind w:firstLine="720"/>
        <w:rPr>
          <w:rFonts w:ascii="Times New Roman" w:hAnsi="Times New Roman" w:cs="Times New Roman"/>
          <w:sz w:val="24"/>
          <w:szCs w:val="24"/>
        </w:rPr>
      </w:pPr>
      <w:r w:rsidRPr="00E8761E">
        <w:rPr>
          <w:rFonts w:ascii="Times New Roman" w:hAnsi="Times New Roman" w:cs="Times New Roman"/>
          <w:sz w:val="24"/>
          <w:szCs w:val="24"/>
        </w:rPr>
        <w:t>An improved workforce in the healthcare facility will result in far greater leadership and advocacy for the health administrator. Furthermore, there will be better access as well as the quality of care for disadvantaged individuals. Moreover, workplace diversity may be a contractual obligation, in that a health plan administrator may require the hospital to be part of its network demonstrating the ability to assist members with limited proficiency.  Therefore, in the right context, workplace diversity ensures that diversity-creating activities and policies in hiring, as well as practices of employment, are considered a matter of importance</w:t>
      </w:r>
      <w:r w:rsidRPr="00E8761E">
        <w:rPr>
          <w:rFonts w:ascii="Times New Roman" w:hAnsi="Times New Roman" w:cs="Times New Roman"/>
          <w:sz w:val="24"/>
          <w:szCs w:val="24"/>
          <w:shd w:val="clear" w:color="auto" w:fill="FFFFFF"/>
        </w:rPr>
        <w:t xml:space="preserve"> (Rice, 2015)</w:t>
      </w:r>
      <w:r w:rsidRPr="00E8761E">
        <w:rPr>
          <w:rFonts w:ascii="Times New Roman" w:hAnsi="Times New Roman" w:cs="Times New Roman"/>
          <w:sz w:val="24"/>
          <w:szCs w:val="24"/>
        </w:rPr>
        <w:t xml:space="preserve">. In this case, compliance plans can be expected in dealing with the steps, which health care providers will take in addressing workforce diversity and in ensuring </w:t>
      </w:r>
      <w:r w:rsidRPr="00E8761E">
        <w:rPr>
          <w:rFonts w:ascii="Times New Roman" w:hAnsi="Times New Roman" w:cs="Times New Roman"/>
          <w:sz w:val="24"/>
          <w:szCs w:val="24"/>
        </w:rPr>
        <w:lastRenderedPageBreak/>
        <w:t>accessibility and quality of care for the community, which it serves.  It is important to acknowledge that a significant presence of a diverse individual in the background leads to significant quality of care in the healthcare organization.</w:t>
      </w:r>
    </w:p>
    <w:p w:rsidR="00AD23CD" w:rsidRPr="00E8761E" w:rsidRDefault="00AD23CD" w:rsidP="00E8761E">
      <w:pPr>
        <w:spacing w:after="0" w:line="480" w:lineRule="auto"/>
        <w:rPr>
          <w:rFonts w:ascii="Times New Roman" w:hAnsi="Times New Roman" w:cs="Times New Roman"/>
          <w:sz w:val="24"/>
          <w:szCs w:val="24"/>
        </w:rPr>
      </w:pPr>
    </w:p>
    <w:p w:rsidR="00AD23CD" w:rsidRPr="00E8761E" w:rsidRDefault="00AD23CD" w:rsidP="00E8761E">
      <w:pPr>
        <w:spacing w:after="0" w:line="480" w:lineRule="auto"/>
        <w:rPr>
          <w:rFonts w:ascii="Times New Roman" w:hAnsi="Times New Roman" w:cs="Times New Roman"/>
          <w:sz w:val="24"/>
          <w:szCs w:val="24"/>
        </w:rPr>
      </w:pPr>
      <w:r w:rsidRPr="00E8761E">
        <w:rPr>
          <w:rFonts w:ascii="Times New Roman" w:hAnsi="Times New Roman" w:cs="Times New Roman"/>
          <w:sz w:val="24"/>
          <w:szCs w:val="24"/>
        </w:rPr>
        <w:t xml:space="preserve">    </w:t>
      </w:r>
    </w:p>
    <w:p w:rsidR="00AD23CD" w:rsidRPr="00E8761E" w:rsidRDefault="00AD23CD" w:rsidP="00E8761E">
      <w:pPr>
        <w:spacing w:after="0" w:line="480" w:lineRule="auto"/>
        <w:rPr>
          <w:rFonts w:ascii="Times New Roman" w:hAnsi="Times New Roman" w:cs="Times New Roman"/>
          <w:sz w:val="24"/>
          <w:szCs w:val="24"/>
        </w:rPr>
      </w:pPr>
    </w:p>
    <w:p w:rsidR="00AD23CD" w:rsidRPr="00E8761E" w:rsidRDefault="00AD23CD" w:rsidP="00E8761E">
      <w:pPr>
        <w:spacing w:after="0" w:line="480" w:lineRule="auto"/>
        <w:rPr>
          <w:rFonts w:ascii="Times New Roman" w:hAnsi="Times New Roman" w:cs="Times New Roman"/>
          <w:sz w:val="24"/>
          <w:szCs w:val="24"/>
        </w:rPr>
      </w:pPr>
    </w:p>
    <w:p w:rsidR="00AD23CD" w:rsidRPr="00E8761E" w:rsidRDefault="00AD23CD" w:rsidP="00E8761E">
      <w:pPr>
        <w:spacing w:after="0" w:line="480" w:lineRule="auto"/>
        <w:rPr>
          <w:rFonts w:ascii="Times New Roman" w:hAnsi="Times New Roman" w:cs="Times New Roman"/>
          <w:b/>
          <w:sz w:val="24"/>
          <w:szCs w:val="24"/>
        </w:rPr>
      </w:pPr>
    </w:p>
    <w:p w:rsidR="00AD23CD" w:rsidRPr="00E8761E" w:rsidRDefault="00AD23CD" w:rsidP="00E8761E">
      <w:pPr>
        <w:spacing w:after="0" w:line="480" w:lineRule="auto"/>
        <w:rPr>
          <w:rFonts w:ascii="Times New Roman" w:hAnsi="Times New Roman" w:cs="Times New Roman"/>
          <w:b/>
          <w:sz w:val="24"/>
          <w:szCs w:val="24"/>
        </w:rPr>
      </w:pPr>
    </w:p>
    <w:p w:rsidR="00AD23CD" w:rsidRPr="00E8761E" w:rsidRDefault="00AD23CD" w:rsidP="00E8761E">
      <w:pPr>
        <w:spacing w:after="0" w:line="480" w:lineRule="auto"/>
        <w:rPr>
          <w:rFonts w:ascii="Times New Roman" w:hAnsi="Times New Roman" w:cs="Times New Roman"/>
          <w:sz w:val="24"/>
          <w:szCs w:val="24"/>
        </w:rPr>
      </w:pPr>
    </w:p>
    <w:p w:rsidR="00AD23CD" w:rsidRPr="00E8761E" w:rsidRDefault="00AD23CD" w:rsidP="00E8761E">
      <w:pPr>
        <w:spacing w:after="0" w:line="480" w:lineRule="auto"/>
        <w:rPr>
          <w:rFonts w:ascii="Times New Roman" w:hAnsi="Times New Roman" w:cs="Times New Roman"/>
          <w:sz w:val="24"/>
          <w:szCs w:val="24"/>
        </w:rPr>
      </w:pPr>
    </w:p>
    <w:p w:rsidR="00AD23CD" w:rsidRPr="00E8761E" w:rsidRDefault="00AD23CD" w:rsidP="00E8761E">
      <w:pPr>
        <w:spacing w:after="0" w:line="480" w:lineRule="auto"/>
        <w:rPr>
          <w:rFonts w:ascii="Times New Roman" w:hAnsi="Times New Roman" w:cs="Times New Roman"/>
          <w:sz w:val="24"/>
          <w:szCs w:val="24"/>
        </w:rPr>
      </w:pPr>
      <w:r w:rsidRPr="00E8761E">
        <w:rPr>
          <w:rFonts w:ascii="Times New Roman" w:hAnsi="Times New Roman" w:cs="Times New Roman"/>
          <w:sz w:val="24"/>
          <w:szCs w:val="24"/>
        </w:rPr>
        <w:br w:type="page"/>
      </w:r>
    </w:p>
    <w:p w:rsidR="00A43878" w:rsidRPr="00E8761E" w:rsidRDefault="0089319C" w:rsidP="00E8761E">
      <w:pPr>
        <w:spacing w:after="0" w:line="480" w:lineRule="auto"/>
        <w:jc w:val="center"/>
        <w:rPr>
          <w:rFonts w:ascii="Times New Roman" w:hAnsi="Times New Roman" w:cs="Times New Roman"/>
          <w:sz w:val="24"/>
          <w:szCs w:val="24"/>
        </w:rPr>
      </w:pPr>
      <w:r w:rsidRPr="00E8761E">
        <w:rPr>
          <w:rFonts w:ascii="Times New Roman" w:hAnsi="Times New Roman" w:cs="Times New Roman"/>
          <w:sz w:val="24"/>
          <w:szCs w:val="24"/>
        </w:rPr>
        <w:lastRenderedPageBreak/>
        <w:t>References</w:t>
      </w:r>
    </w:p>
    <w:p w:rsidR="0097726B" w:rsidRPr="00E8761E" w:rsidRDefault="00AD23CD" w:rsidP="00E8761E">
      <w:pPr>
        <w:spacing w:after="0" w:line="480" w:lineRule="auto"/>
        <w:ind w:left="567" w:hanging="567"/>
        <w:rPr>
          <w:rFonts w:ascii="Times New Roman" w:hAnsi="Times New Roman" w:cs="Times New Roman"/>
          <w:sz w:val="24"/>
          <w:szCs w:val="24"/>
          <w:shd w:val="clear" w:color="auto" w:fill="FFFFFF"/>
        </w:rPr>
      </w:pPr>
      <w:r w:rsidRPr="00E8761E">
        <w:rPr>
          <w:rFonts w:ascii="Times New Roman" w:hAnsi="Times New Roman" w:cs="Times New Roman"/>
          <w:sz w:val="24"/>
          <w:szCs w:val="24"/>
          <w:shd w:val="clear" w:color="auto" w:fill="FFFFFF"/>
        </w:rPr>
        <w:t>Gomez-Mejia, L. R., Balkin, D. B., &amp; Cardy, R. L. (2007). </w:t>
      </w:r>
      <w:r w:rsidRPr="00E8761E">
        <w:rPr>
          <w:rFonts w:ascii="Times New Roman" w:hAnsi="Times New Roman" w:cs="Times New Roman"/>
          <w:i/>
          <w:iCs/>
          <w:sz w:val="24"/>
          <w:szCs w:val="24"/>
          <w:shd w:val="clear" w:color="auto" w:fill="FFFFFF"/>
        </w:rPr>
        <w:t>Managing human resources</w:t>
      </w:r>
      <w:r w:rsidRPr="00E8761E">
        <w:rPr>
          <w:rFonts w:ascii="Times New Roman" w:hAnsi="Times New Roman" w:cs="Times New Roman"/>
          <w:sz w:val="24"/>
          <w:szCs w:val="24"/>
          <w:shd w:val="clear" w:color="auto" w:fill="FFFFFF"/>
        </w:rPr>
        <w:t>. Upper Saddle River, NJ: Pearson/Prentice Hall.</w:t>
      </w:r>
    </w:p>
    <w:p w:rsidR="00E8761E" w:rsidRPr="00E8761E" w:rsidRDefault="00E8761E" w:rsidP="00E8761E">
      <w:pPr>
        <w:pStyle w:val="Bibliography"/>
        <w:spacing w:line="480" w:lineRule="auto"/>
        <w:ind w:left="720" w:hanging="720"/>
        <w:rPr>
          <w:rFonts w:ascii="Times New Roman" w:hAnsi="Times New Roman" w:cs="Times New Roman"/>
          <w:noProof/>
          <w:sz w:val="24"/>
          <w:szCs w:val="24"/>
        </w:rPr>
      </w:pPr>
      <w:r w:rsidRPr="00E8761E">
        <w:rPr>
          <w:rFonts w:ascii="Times New Roman" w:hAnsi="Times New Roman" w:cs="Times New Roman"/>
          <w:sz w:val="24"/>
          <w:szCs w:val="24"/>
          <w:shd w:val="clear" w:color="auto" w:fill="FFFFFF"/>
        </w:rPr>
        <w:fldChar w:fldCharType="begin"/>
      </w:r>
      <w:r w:rsidRPr="00E8761E">
        <w:rPr>
          <w:rFonts w:ascii="Times New Roman" w:hAnsi="Times New Roman" w:cs="Times New Roman"/>
          <w:sz w:val="24"/>
          <w:szCs w:val="24"/>
          <w:shd w:val="clear" w:color="auto" w:fill="FFFFFF"/>
        </w:rPr>
        <w:instrText xml:space="preserve"> BIBLIOGRAPHY  \l 1033 </w:instrText>
      </w:r>
      <w:r w:rsidRPr="00E8761E">
        <w:rPr>
          <w:rFonts w:ascii="Times New Roman" w:hAnsi="Times New Roman" w:cs="Times New Roman"/>
          <w:sz w:val="24"/>
          <w:szCs w:val="24"/>
          <w:shd w:val="clear" w:color="auto" w:fill="FFFFFF"/>
        </w:rPr>
        <w:fldChar w:fldCharType="separate"/>
      </w:r>
      <w:r w:rsidRPr="00E8761E">
        <w:rPr>
          <w:rFonts w:ascii="Times New Roman" w:hAnsi="Times New Roman" w:cs="Times New Roman"/>
          <w:noProof/>
          <w:sz w:val="24"/>
          <w:szCs w:val="24"/>
        </w:rPr>
        <w:t xml:space="preserve">Cabral, J. (2018, Sep 13). </w:t>
      </w:r>
      <w:r w:rsidRPr="00E8761E">
        <w:rPr>
          <w:rFonts w:ascii="Times New Roman" w:hAnsi="Times New Roman" w:cs="Times New Roman"/>
          <w:i/>
          <w:iCs/>
          <w:noProof/>
          <w:sz w:val="24"/>
          <w:szCs w:val="24"/>
        </w:rPr>
        <w:t>The challenges facing today’s healthcare CHRO.</w:t>
      </w:r>
      <w:r w:rsidRPr="00E8761E">
        <w:rPr>
          <w:rFonts w:ascii="Times New Roman" w:hAnsi="Times New Roman" w:cs="Times New Roman"/>
          <w:noProof/>
          <w:sz w:val="24"/>
          <w:szCs w:val="24"/>
        </w:rPr>
        <w:t xml:space="preserve"> Retrieved 2018, from Beckers Hospital Review: https://www.1.com/human-capital-and-risk/the-challenges-facing-today-s-healthcare-chro.html</w:t>
      </w:r>
    </w:p>
    <w:p w:rsidR="00AD23CD" w:rsidRPr="00E8761E" w:rsidRDefault="00E8761E" w:rsidP="00E8761E">
      <w:pPr>
        <w:spacing w:after="0" w:line="480" w:lineRule="auto"/>
        <w:ind w:left="567" w:hanging="567"/>
        <w:rPr>
          <w:rFonts w:ascii="Times New Roman" w:hAnsi="Times New Roman" w:cs="Times New Roman"/>
          <w:sz w:val="24"/>
          <w:szCs w:val="24"/>
          <w:shd w:val="clear" w:color="auto" w:fill="FFFFFF"/>
        </w:rPr>
      </w:pPr>
      <w:r w:rsidRPr="00E8761E">
        <w:rPr>
          <w:rFonts w:ascii="Times New Roman" w:hAnsi="Times New Roman" w:cs="Times New Roman"/>
          <w:sz w:val="24"/>
          <w:szCs w:val="24"/>
          <w:shd w:val="clear" w:color="auto" w:fill="FFFFFF"/>
        </w:rPr>
        <w:fldChar w:fldCharType="end"/>
      </w:r>
      <w:r w:rsidR="00AD23CD" w:rsidRPr="00E8761E">
        <w:rPr>
          <w:rFonts w:ascii="Times New Roman" w:hAnsi="Times New Roman" w:cs="Times New Roman"/>
          <w:sz w:val="24"/>
          <w:szCs w:val="24"/>
          <w:shd w:val="clear" w:color="auto" w:fill="FFFFFF"/>
        </w:rPr>
        <w:t>Greene, A. M., &amp; Kirton, G. (2015). </w:t>
      </w:r>
      <w:r w:rsidR="00AD23CD" w:rsidRPr="00E8761E">
        <w:rPr>
          <w:rFonts w:ascii="Times New Roman" w:hAnsi="Times New Roman" w:cs="Times New Roman"/>
          <w:i/>
          <w:iCs/>
          <w:sz w:val="24"/>
          <w:szCs w:val="24"/>
          <w:shd w:val="clear" w:color="auto" w:fill="FFFFFF"/>
        </w:rPr>
        <w:t>The dynamics of managing diversity: A critical approach</w:t>
      </w:r>
      <w:r w:rsidR="00AD23CD" w:rsidRPr="00E8761E">
        <w:rPr>
          <w:rFonts w:ascii="Times New Roman" w:hAnsi="Times New Roman" w:cs="Times New Roman"/>
          <w:sz w:val="24"/>
          <w:szCs w:val="24"/>
          <w:shd w:val="clear" w:color="auto" w:fill="FFFFFF"/>
        </w:rPr>
        <w:t>. Routledge.</w:t>
      </w:r>
    </w:p>
    <w:p w:rsidR="00AD23CD" w:rsidRPr="00E8761E" w:rsidRDefault="00AD23CD" w:rsidP="00E8761E">
      <w:pPr>
        <w:spacing w:after="0" w:line="480" w:lineRule="auto"/>
        <w:ind w:left="567" w:hanging="567"/>
        <w:rPr>
          <w:rFonts w:ascii="Times New Roman" w:hAnsi="Times New Roman" w:cs="Times New Roman"/>
          <w:sz w:val="24"/>
          <w:szCs w:val="24"/>
          <w:shd w:val="clear" w:color="auto" w:fill="FFFFFF"/>
        </w:rPr>
      </w:pPr>
      <w:r w:rsidRPr="00E8761E">
        <w:rPr>
          <w:rFonts w:ascii="Times New Roman" w:hAnsi="Times New Roman" w:cs="Times New Roman"/>
          <w:sz w:val="24"/>
          <w:szCs w:val="24"/>
          <w:shd w:val="clear" w:color="auto" w:fill="FFFFFF"/>
        </w:rPr>
        <w:t>Crouse, P., Doyle, W., &amp; Young, J. D. (2011). Workplace learning strategies, barriers, facilitators and outcomes: a qualitative study among human resource management practitioners. </w:t>
      </w:r>
      <w:r w:rsidRPr="00E8761E">
        <w:rPr>
          <w:rFonts w:ascii="Times New Roman" w:hAnsi="Times New Roman" w:cs="Times New Roman"/>
          <w:i/>
          <w:iCs/>
          <w:sz w:val="24"/>
          <w:szCs w:val="24"/>
          <w:shd w:val="clear" w:color="auto" w:fill="FFFFFF"/>
        </w:rPr>
        <w:t>Human Resource Development International</w:t>
      </w:r>
      <w:r w:rsidRPr="00E8761E">
        <w:rPr>
          <w:rFonts w:ascii="Times New Roman" w:hAnsi="Times New Roman" w:cs="Times New Roman"/>
          <w:sz w:val="24"/>
          <w:szCs w:val="24"/>
          <w:shd w:val="clear" w:color="auto" w:fill="FFFFFF"/>
        </w:rPr>
        <w:t>, </w:t>
      </w:r>
      <w:r w:rsidRPr="00E8761E">
        <w:rPr>
          <w:rFonts w:ascii="Times New Roman" w:hAnsi="Times New Roman" w:cs="Times New Roman"/>
          <w:i/>
          <w:iCs/>
          <w:sz w:val="24"/>
          <w:szCs w:val="24"/>
          <w:shd w:val="clear" w:color="auto" w:fill="FFFFFF"/>
        </w:rPr>
        <w:t>14</w:t>
      </w:r>
      <w:r w:rsidRPr="00E8761E">
        <w:rPr>
          <w:rFonts w:ascii="Times New Roman" w:hAnsi="Times New Roman" w:cs="Times New Roman"/>
          <w:sz w:val="24"/>
          <w:szCs w:val="24"/>
          <w:shd w:val="clear" w:color="auto" w:fill="FFFFFF"/>
        </w:rPr>
        <w:t>(1), 39-55.</w:t>
      </w:r>
    </w:p>
    <w:p w:rsidR="00AD23CD" w:rsidRPr="00E8761E" w:rsidRDefault="00AD23CD" w:rsidP="00E8761E">
      <w:pPr>
        <w:spacing w:after="0" w:line="480" w:lineRule="auto"/>
        <w:ind w:left="567" w:hanging="567"/>
        <w:rPr>
          <w:rFonts w:ascii="Times New Roman" w:hAnsi="Times New Roman" w:cs="Times New Roman"/>
          <w:sz w:val="24"/>
          <w:szCs w:val="24"/>
          <w:shd w:val="clear" w:color="auto" w:fill="FFFFFF"/>
        </w:rPr>
      </w:pPr>
      <w:r w:rsidRPr="00E8761E">
        <w:rPr>
          <w:rFonts w:ascii="Times New Roman" w:hAnsi="Times New Roman" w:cs="Times New Roman"/>
          <w:sz w:val="24"/>
          <w:szCs w:val="24"/>
          <w:shd w:val="clear" w:color="auto" w:fill="FFFFFF"/>
        </w:rPr>
        <w:t>Rice, M. F. (2015). </w:t>
      </w:r>
      <w:r w:rsidRPr="00E8761E">
        <w:rPr>
          <w:rFonts w:ascii="Times New Roman" w:hAnsi="Times New Roman" w:cs="Times New Roman"/>
          <w:i/>
          <w:iCs/>
          <w:sz w:val="24"/>
          <w:szCs w:val="24"/>
          <w:shd w:val="clear" w:color="auto" w:fill="FFFFFF"/>
        </w:rPr>
        <w:t>Diversity and public administration</w:t>
      </w:r>
      <w:r w:rsidRPr="00E8761E">
        <w:rPr>
          <w:rFonts w:ascii="Times New Roman" w:hAnsi="Times New Roman" w:cs="Times New Roman"/>
          <w:sz w:val="24"/>
          <w:szCs w:val="24"/>
          <w:shd w:val="clear" w:color="auto" w:fill="FFFFFF"/>
        </w:rPr>
        <w:t>. ME Sharpe.</w:t>
      </w:r>
    </w:p>
    <w:sectPr w:rsidR="00AD23CD" w:rsidRPr="00E8761E"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5FC" w:rsidRDefault="009A25FC" w:rsidP="00EE0CEB">
      <w:pPr>
        <w:spacing w:after="0" w:line="240" w:lineRule="auto"/>
      </w:pPr>
      <w:r>
        <w:separator/>
      </w:r>
    </w:p>
  </w:endnote>
  <w:endnote w:type="continuationSeparator" w:id="0">
    <w:p w:rsidR="009A25FC" w:rsidRDefault="009A25FC"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5FC" w:rsidRDefault="009A25FC" w:rsidP="00EE0CEB">
      <w:pPr>
        <w:spacing w:after="0" w:line="240" w:lineRule="auto"/>
      </w:pPr>
      <w:r>
        <w:separator/>
      </w:r>
    </w:p>
  </w:footnote>
  <w:footnote w:type="continuationSeparator" w:id="0">
    <w:p w:rsidR="009A25FC" w:rsidRDefault="009A25FC"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AD23CD" w:rsidP="002162C1">
    <w:pPr>
      <w:spacing w:line="360" w:lineRule="auto"/>
      <w:jc w:val="both"/>
      <w:rPr>
        <w:rFonts w:ascii="Times New Roman" w:hAnsi="Times New Roman" w:cs="Times New Roman"/>
        <w:color w:val="222222"/>
        <w:sz w:val="24"/>
        <w:szCs w:val="24"/>
        <w:shd w:val="clear" w:color="auto" w:fill="FFFFFF"/>
      </w:rPr>
    </w:pPr>
    <w:r w:rsidRPr="00AD23CD">
      <w:rPr>
        <w:rFonts w:ascii="Times New Roman" w:hAnsi="Times New Roman" w:cs="Times New Roman"/>
        <w:sz w:val="24"/>
        <w:szCs w:val="24"/>
      </w:rPr>
      <w:t>WORKPLACE DIVERSITY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A77CF9">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AD23CD">
    <w:pPr>
      <w:tabs>
        <w:tab w:val="left" w:pos="7650"/>
      </w:tabs>
      <w:jc w:val="cente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AD23CD" w:rsidRPr="00AD23CD">
      <w:rPr>
        <w:rFonts w:ascii="Times New Roman" w:hAnsi="Times New Roman" w:cs="Times New Roman"/>
        <w:sz w:val="24"/>
        <w:szCs w:val="24"/>
      </w:rPr>
      <w:t>WORKPLACE DIVERSITY</w:t>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A77CF9">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92BF3"/>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410"/>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32D49"/>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726B"/>
    <w:rsid w:val="009977FC"/>
    <w:rsid w:val="009A25FC"/>
    <w:rsid w:val="009A4C6F"/>
    <w:rsid w:val="009C329E"/>
    <w:rsid w:val="009E2386"/>
    <w:rsid w:val="009F4317"/>
    <w:rsid w:val="00A1457E"/>
    <w:rsid w:val="00A32974"/>
    <w:rsid w:val="00A34506"/>
    <w:rsid w:val="00A43878"/>
    <w:rsid w:val="00A4669F"/>
    <w:rsid w:val="00A50D6D"/>
    <w:rsid w:val="00A55B56"/>
    <w:rsid w:val="00A77CF9"/>
    <w:rsid w:val="00A83830"/>
    <w:rsid w:val="00A96B1E"/>
    <w:rsid w:val="00AB1494"/>
    <w:rsid w:val="00AB5E71"/>
    <w:rsid w:val="00AC229A"/>
    <w:rsid w:val="00AC49E6"/>
    <w:rsid w:val="00AD23CD"/>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8761E"/>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76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Jos18</b:Tag>
    <b:SourceType>DocumentFromInternetSite</b:SourceType>
    <b:Guid>{6ADCEF40-ECC4-4098-9E31-EBCA26568B51}</b:Guid>
    <b:Author>
      <b:Author>
        <b:NameList>
          <b:Person>
            <b:Last>Cabral</b:Last>
            <b:First>Joseph</b:First>
          </b:Person>
        </b:NameList>
      </b:Author>
    </b:Author>
    <b:Title>The challenges facing today’s healthcare CHRO</b:Title>
    <b:InternetSiteTitle>Beckers Hospital Review</b:InternetSiteTitle>
    <b:Year>2018</b:Year>
    <b:Month>Sep</b:Month>
    <b:Day>13</b:Day>
    <b:YearAccessed>2018</b:YearAccessed>
    <b:URL>https://www.1.com/human-capital-and-risk/the-challenges-facing-today-s-healthcare-chro.html</b:URL>
    <b:RefOrder>1</b:RefOrder>
  </b:Source>
</b:Sources>
</file>

<file path=customXml/itemProps1.xml><?xml version="1.0" encoding="utf-8"?>
<ds:datastoreItem xmlns:ds="http://schemas.openxmlformats.org/officeDocument/2006/customXml" ds:itemID="{DEB4D1E7-A367-4F55-9A4C-A7AFC6198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2018-09-30T22:22:00Z</dcterms:created>
  <dcterms:modified xsi:type="dcterms:W3CDTF">2018-09-30T22:22:00Z</dcterms:modified>
</cp:coreProperties>
</file>